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07" w:rsidRPr="00B023EF" w:rsidRDefault="00FC4D07" w:rsidP="00FC4D07">
      <w:pPr>
        <w:spacing w:after="0" w:line="240" w:lineRule="auto"/>
        <w:jc w:val="center"/>
        <w:rPr>
          <w:rFonts w:ascii="Diavlo Light" w:eastAsia="Times New Roman" w:hAnsi="Diavlo Light" w:cs="Tahoma"/>
          <w:sz w:val="16"/>
          <w:szCs w:val="24"/>
          <w:lang w:eastAsia="pl-PL"/>
        </w:rPr>
      </w:pPr>
      <w:r w:rsidRPr="00B023EF">
        <w:rPr>
          <w:rFonts w:ascii="Diavlo Light" w:eastAsia="Times New Roman" w:hAnsi="Diavlo Light" w:cs="Times New Roman"/>
          <w:b/>
          <w:sz w:val="36"/>
          <w:szCs w:val="36"/>
          <w:lang w:eastAsia="pl-PL"/>
        </w:rPr>
        <w:t>Informacja do wniosku</w:t>
      </w:r>
    </w:p>
    <w:p w:rsidR="00FC4D07" w:rsidRPr="00B023EF" w:rsidRDefault="00FC4D07" w:rsidP="00FC4D07">
      <w:pPr>
        <w:spacing w:after="0" w:line="240" w:lineRule="auto"/>
        <w:jc w:val="center"/>
        <w:rPr>
          <w:rFonts w:ascii="Diavlo Light" w:eastAsia="Times New Roman" w:hAnsi="Diavlo Light" w:cs="Times New Roman"/>
          <w:b/>
          <w:sz w:val="28"/>
          <w:szCs w:val="28"/>
          <w:lang w:eastAsia="pl-PL"/>
        </w:rPr>
      </w:pPr>
      <w:r w:rsidRPr="00B023EF">
        <w:rPr>
          <w:rFonts w:ascii="Diavlo Light" w:eastAsia="Times New Roman" w:hAnsi="Diavlo Light" w:cs="Times New Roman"/>
          <w:b/>
          <w:sz w:val="28"/>
          <w:szCs w:val="28"/>
          <w:lang w:eastAsia="pl-PL"/>
        </w:rPr>
        <w:t>o wydanie decyzji o warunkach zabudowy  oraz  o ustaleniu lokalizacji inwestycji celu publicznego</w:t>
      </w:r>
    </w:p>
    <w:p w:rsidR="00FC4D07" w:rsidRPr="00B023EF" w:rsidRDefault="00FC4D07" w:rsidP="00FC4D07">
      <w:pPr>
        <w:spacing w:after="0" w:line="240" w:lineRule="auto"/>
        <w:jc w:val="center"/>
        <w:rPr>
          <w:rFonts w:ascii="Diavlo Light" w:eastAsia="Times New Roman" w:hAnsi="Diavlo Light" w:cs="Tahoma"/>
          <w:sz w:val="18"/>
          <w:szCs w:val="18"/>
          <w:lang w:eastAsia="pl-PL"/>
        </w:rPr>
      </w:pPr>
    </w:p>
    <w:p w:rsidR="00FC4D07" w:rsidRPr="00B023EF" w:rsidRDefault="00FC4D07" w:rsidP="00FC4D07">
      <w:pPr>
        <w:spacing w:after="0" w:line="240" w:lineRule="auto"/>
        <w:jc w:val="center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 </w:t>
      </w:r>
    </w:p>
    <w:p w:rsidR="00FC4D07" w:rsidRPr="00B023EF" w:rsidRDefault="00FC4D07" w:rsidP="00FC4D07">
      <w:pPr>
        <w:numPr>
          <w:ilvl w:val="0"/>
          <w:numId w:val="8"/>
        </w:numPr>
        <w:spacing w:after="0" w:line="240" w:lineRule="auto"/>
        <w:jc w:val="both"/>
        <w:rPr>
          <w:rFonts w:ascii="Diavlo Light" w:eastAsia="Times New Roman" w:hAnsi="Diavlo Light" w:cs="Tahoma"/>
          <w:i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iCs/>
          <w:sz w:val="18"/>
          <w:szCs w:val="18"/>
          <w:lang w:eastAsia="pl-PL"/>
        </w:rPr>
        <w:t xml:space="preserve">Na podstawie ustawy z dnia 27 marca 2003 r. o planowaniu i zagospodarowaniu przestrzennym  (tekst jednolity Dz. U. z 2012r. poz. 647 z </w:t>
      </w:r>
      <w:proofErr w:type="spellStart"/>
      <w:r w:rsidRPr="00B023EF">
        <w:rPr>
          <w:rFonts w:ascii="Diavlo Light" w:eastAsia="Times New Roman" w:hAnsi="Diavlo Light" w:cs="Tahoma"/>
          <w:iCs/>
          <w:sz w:val="18"/>
          <w:szCs w:val="18"/>
          <w:lang w:eastAsia="pl-PL"/>
        </w:rPr>
        <w:t>późn</w:t>
      </w:r>
      <w:proofErr w:type="spellEnd"/>
      <w:r w:rsidRPr="00B023EF">
        <w:rPr>
          <w:rFonts w:ascii="Diavlo Light" w:eastAsia="Times New Roman" w:hAnsi="Diavlo Light" w:cs="Tahoma"/>
          <w:iCs/>
          <w:sz w:val="18"/>
          <w:szCs w:val="18"/>
          <w:lang w:eastAsia="pl-PL"/>
        </w:rPr>
        <w:t>. zm.):</w:t>
      </w:r>
    </w:p>
    <w:p w:rsidR="00FC4D07" w:rsidRPr="00B023EF" w:rsidRDefault="00FC4D07" w:rsidP="00FC4D07">
      <w:pPr>
        <w:spacing w:after="0" w:line="240" w:lineRule="auto"/>
        <w:jc w:val="both"/>
        <w:rPr>
          <w:rFonts w:ascii="Diavlo Light" w:eastAsia="Times New Roman" w:hAnsi="Diavlo Light" w:cs="Tahoma"/>
          <w:iCs/>
          <w:sz w:val="18"/>
          <w:szCs w:val="18"/>
          <w:lang w:eastAsia="pl-PL"/>
        </w:rPr>
      </w:pPr>
    </w:p>
    <w:p w:rsidR="00FC4D07" w:rsidRPr="00B023EF" w:rsidRDefault="00FC4D07" w:rsidP="00FC4D07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b/>
          <w:i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iCs/>
          <w:sz w:val="18"/>
          <w:szCs w:val="18"/>
          <w:lang w:eastAsia="pl-PL"/>
        </w:rPr>
        <w:t xml:space="preserve">W przypadku braku planu miejscowego, ustalenia w drodze decyzji warunków zabudowy wymaga: zmiana  zagospodarowania terenu polegająca na budowie obiektu budowlanego lub wykonaniu innych robót budowlanych, zmiana sposobu użytkowania obiektu budowlanego lub jego części, a także zmiana zagospodarowania terenu, która nie wymaga pozwolenia na budowę, chyba, że ma charakter tymczasowy, jednorazowy i nie trwa dłużej niż rok.   </w:t>
      </w:r>
    </w:p>
    <w:p w:rsidR="00FC4D07" w:rsidRPr="00B023EF" w:rsidRDefault="00FC4D07" w:rsidP="00FC4D07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Nie wymagają wydania decyzji o warunkach zabudowy roboty budowlane:</w:t>
      </w:r>
    </w:p>
    <w:p w:rsidR="00FC4D07" w:rsidRPr="00B023EF" w:rsidRDefault="00FC4D07" w:rsidP="00FC4D07">
      <w:p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polegające na remoncie, montażu lub przebudowie, jeżeli nie powodują zmiany sposobu zagospodarowania terenu i użytkowania obiektu budowlanego oraz nie zmieniają jego formy architektonicznej, a także nie są zaliczone do przedsięwzięć wymagających przeprowadzenia postępowania w sprawie oceny oddziaływania na środowisko, w rozumieniu przepisów o ochronie środowiska, albo niewymagające pozwolenia na budowę.</w:t>
      </w:r>
    </w:p>
    <w:p w:rsidR="00FC4D07" w:rsidRPr="00B023EF" w:rsidRDefault="00FC4D07" w:rsidP="00FC4D07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Ustalenie warunków zabudowy następuje na wniosek inwestora.</w:t>
      </w:r>
    </w:p>
    <w:p w:rsidR="00FC4D07" w:rsidRPr="00B023EF" w:rsidRDefault="00FC4D07" w:rsidP="00FC4D07">
      <w:pPr>
        <w:numPr>
          <w:ilvl w:val="0"/>
          <w:numId w:val="4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Dla tego samego terenu, decyzję o warunkach zabudowy można wydać więcej niż jednemu wnioskodawcy, doręczając odpis decyzji do wiadomości pozostałym wnioskodawcom i właścicielowi lub użytkownikowi   wieczystemu nieruchomości.</w:t>
      </w:r>
    </w:p>
    <w:p w:rsidR="00FC4D07" w:rsidRPr="00B023EF" w:rsidRDefault="00FC4D07" w:rsidP="00FC4D07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Decyzja o warunkach zabudowy nie rodzi praw do terenu oraz  nie narusza prawa własności i uprawnień osób trzecich.</w:t>
      </w:r>
    </w:p>
    <w:p w:rsidR="00FC4D07" w:rsidRPr="00B023EF" w:rsidRDefault="00FC4D07" w:rsidP="00FC4D07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Wnioskodawcy, który nie uzyskał prawa do terenu nie przysługuje roszczenie o zwrot nakładów poniesionych w związku z otrzymaną decyzją ustalającą warunki zabudowy terenu .</w:t>
      </w:r>
    </w:p>
    <w:p w:rsidR="00FC4D07" w:rsidRPr="00B023EF" w:rsidRDefault="00FC4D07" w:rsidP="00FC4D07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Organ, który wydał decyzję o warunkach zabudowy, jest zobowiązany, za zgodą strony, na rzecz której decyzja została wydana, do jej przeniesienia na rzecz innej osoby, jeżeli przyjmuje ona wszystkie warunki zawarte w tej decyzji. Stronami takiego postępowania są jedynie podmioty, między którymi ma być dokonane jej  przeniesienie. </w:t>
      </w:r>
    </w:p>
    <w:p w:rsidR="00FC4D07" w:rsidRPr="00B023EF" w:rsidRDefault="00FC4D07" w:rsidP="00FC4D07">
      <w:pPr>
        <w:numPr>
          <w:ilvl w:val="0"/>
          <w:numId w:val="1"/>
        </w:numPr>
        <w:tabs>
          <w:tab w:val="num" w:pos="413"/>
        </w:tabs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Organ, który wydał decyzję o warunkach zabudowy, stwierdza jej wygaśnięcie: </w:t>
      </w:r>
    </w:p>
    <w:p w:rsidR="00FC4D07" w:rsidRPr="00B023EF" w:rsidRDefault="00FC4D07" w:rsidP="00FC4D07">
      <w:pPr>
        <w:tabs>
          <w:tab w:val="num" w:pos="413"/>
        </w:tabs>
        <w:spacing w:after="0" w:line="240" w:lineRule="auto"/>
        <w:ind w:left="590" w:hanging="177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-  jeżeli inny wnioskodawca uzyskał pozwolenie na budowę,  </w:t>
      </w:r>
    </w:p>
    <w:p w:rsidR="00FC4D07" w:rsidRPr="00B023EF" w:rsidRDefault="00FC4D07" w:rsidP="00FC4D07">
      <w:pPr>
        <w:tabs>
          <w:tab w:val="num" w:pos="413"/>
        </w:tabs>
        <w:spacing w:after="0" w:line="240" w:lineRule="auto"/>
        <w:ind w:left="590" w:hanging="177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- jeżeli dla tego terenu uchwalono plan miejscowy, którego ustalenia są inne niż w wydanej decyzji,   a uprzednio nie została wydana ostateczna decyzja o pozwoleniu na budowę. </w:t>
      </w:r>
    </w:p>
    <w:p w:rsidR="00FC4D07" w:rsidRPr="00B023EF" w:rsidRDefault="00FC4D07" w:rsidP="00FC4D07">
      <w:pPr>
        <w:spacing w:after="120" w:line="240" w:lineRule="auto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</w:p>
    <w:p w:rsidR="00FC4D07" w:rsidRPr="00B023EF" w:rsidRDefault="00FC4D07" w:rsidP="00FC4D07">
      <w:pPr>
        <w:numPr>
          <w:ilvl w:val="0"/>
          <w:numId w:val="8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Wydanie </w:t>
      </w:r>
      <w:r w:rsidRPr="00B023EF">
        <w:rPr>
          <w:rFonts w:ascii="Diavlo Light" w:eastAsia="Times New Roman" w:hAnsi="Diavlo Light" w:cs="Tahoma"/>
          <w:b/>
          <w:sz w:val="18"/>
          <w:szCs w:val="18"/>
          <w:lang w:eastAsia="pl-PL"/>
        </w:rPr>
        <w:t>decyzji o warunkach zabudowy</w:t>
      </w: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 jest możliwe jedynie w przypadku łącznego spełnienia warunków określonych w art. 61.1 ustawy o planowaniu i zagospodarowaniu przestrzennym (tekst jednolity Dz. U. z 2012r., poz. 647 z </w:t>
      </w:r>
      <w:proofErr w:type="spellStart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późn</w:t>
      </w:r>
      <w:proofErr w:type="spellEnd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. zm.) </w:t>
      </w:r>
      <w:proofErr w:type="spellStart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tj</w:t>
      </w:r>
      <w:proofErr w:type="spellEnd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:</w:t>
      </w:r>
    </w:p>
    <w:p w:rsidR="00FC4D07" w:rsidRPr="00B023EF" w:rsidRDefault="00FC4D07" w:rsidP="00FC4D07">
      <w:pPr>
        <w:numPr>
          <w:ilvl w:val="4"/>
          <w:numId w:val="2"/>
        </w:numPr>
        <w:tabs>
          <w:tab w:val="num" w:pos="649"/>
        </w:tabs>
        <w:spacing w:after="0" w:line="240" w:lineRule="auto"/>
        <w:ind w:left="649" w:hanging="236"/>
        <w:jc w:val="both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>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tereny, w tym gabarytów i formy architektonicznej obiektów budowlanych, linii zabudowy oraz intensywności wykorzystania terenu,</w:t>
      </w:r>
    </w:p>
    <w:p w:rsidR="00FC4D07" w:rsidRPr="00B023EF" w:rsidRDefault="00FC4D07" w:rsidP="00FC4D07">
      <w:pPr>
        <w:numPr>
          <w:ilvl w:val="4"/>
          <w:numId w:val="2"/>
        </w:numPr>
        <w:tabs>
          <w:tab w:val="num" w:pos="649"/>
        </w:tabs>
        <w:spacing w:after="0" w:line="240" w:lineRule="auto"/>
        <w:ind w:left="649" w:hanging="236"/>
        <w:jc w:val="both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>teren ma dostęp do drogi publicznej,</w:t>
      </w:r>
    </w:p>
    <w:p w:rsidR="00FC4D07" w:rsidRPr="00B023EF" w:rsidRDefault="00FC4D07" w:rsidP="00FC4D07">
      <w:pPr>
        <w:numPr>
          <w:ilvl w:val="4"/>
          <w:numId w:val="2"/>
        </w:numPr>
        <w:tabs>
          <w:tab w:val="num" w:pos="649"/>
        </w:tabs>
        <w:spacing w:after="0" w:line="240" w:lineRule="auto"/>
        <w:ind w:left="649" w:hanging="236"/>
        <w:jc w:val="both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>istniejące i projektowane uzbrojenie terenu jest wystarczające dla zamierzenia budowlanego – warunek ten uznaje się za spełniony, jeżeli wykonanie uzbrojenia terenu zostanie zagwarantowane w drodze umowy zawartej między właściwą jednostką organizacyjną a inwestorem.</w:t>
      </w:r>
    </w:p>
    <w:p w:rsidR="00FC4D07" w:rsidRPr="00B023EF" w:rsidRDefault="00FC4D07" w:rsidP="00FC4D07">
      <w:pPr>
        <w:numPr>
          <w:ilvl w:val="4"/>
          <w:numId w:val="2"/>
        </w:numPr>
        <w:tabs>
          <w:tab w:val="num" w:pos="649"/>
        </w:tabs>
        <w:spacing w:after="0" w:line="240" w:lineRule="auto"/>
        <w:ind w:left="649" w:hanging="236"/>
        <w:jc w:val="both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>decyzja jest zgodna z przepisami odrębnymi.</w:t>
      </w:r>
    </w:p>
    <w:p w:rsidR="00FC4D07" w:rsidRPr="00B023EF" w:rsidRDefault="00FC4D07" w:rsidP="00FC4D07">
      <w:pPr>
        <w:spacing w:after="120" w:line="240" w:lineRule="auto"/>
        <w:ind w:left="283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</w:p>
    <w:p w:rsidR="00FC4D07" w:rsidRPr="00B023EF" w:rsidRDefault="00FC4D07" w:rsidP="00FC4D07">
      <w:pPr>
        <w:tabs>
          <w:tab w:val="left" w:pos="649"/>
        </w:tabs>
        <w:spacing w:after="120" w:line="240" w:lineRule="auto"/>
        <w:ind w:left="283" w:hanging="413"/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  <w:t>Przepisów art. 61 ust 1 pkt. 1 nie stosuje się:</w:t>
      </w:r>
    </w:p>
    <w:p w:rsidR="00FC4D07" w:rsidRPr="00B023EF" w:rsidRDefault="00FC4D07" w:rsidP="00FC4D07">
      <w:pPr>
        <w:numPr>
          <w:ilvl w:val="0"/>
          <w:numId w:val="3"/>
        </w:numPr>
        <w:tabs>
          <w:tab w:val="left" w:pos="649"/>
        </w:tabs>
        <w:spacing w:after="0" w:line="240" w:lineRule="auto"/>
        <w:ind w:left="649" w:hanging="236"/>
        <w:jc w:val="both"/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  <w:t>do inwestycji produkcyjnych lokalizowanych na terenach przeznaczonych na ten cel w planach miejscowych, które utraciły moc na podstawie art. 67 ust. 1 ustawy o zagospodarowaniu przestrzennym,, o której mowa w art. 88 ust. 1,</w:t>
      </w:r>
    </w:p>
    <w:p w:rsidR="00FC4D07" w:rsidRPr="00B023EF" w:rsidRDefault="00FC4D07" w:rsidP="00FC4D07">
      <w:pPr>
        <w:numPr>
          <w:ilvl w:val="0"/>
          <w:numId w:val="3"/>
        </w:numPr>
        <w:tabs>
          <w:tab w:val="left" w:pos="649"/>
        </w:tabs>
        <w:spacing w:after="0" w:line="240" w:lineRule="auto"/>
        <w:ind w:left="649" w:hanging="236"/>
        <w:jc w:val="both"/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  <w:t>do linii kolejowych, obiektów liniowych i urządzeń infrastruktury technicznej,</w:t>
      </w:r>
    </w:p>
    <w:p w:rsidR="00FC4D07" w:rsidRPr="00B023EF" w:rsidRDefault="00FC4D07" w:rsidP="00FC4D07">
      <w:pPr>
        <w:numPr>
          <w:ilvl w:val="0"/>
          <w:numId w:val="3"/>
        </w:numPr>
        <w:tabs>
          <w:tab w:val="left" w:pos="649"/>
        </w:tabs>
        <w:spacing w:after="0" w:line="240" w:lineRule="auto"/>
        <w:ind w:left="649" w:hanging="236"/>
        <w:jc w:val="both"/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i/>
          <w:iCs/>
          <w:sz w:val="18"/>
          <w:szCs w:val="18"/>
          <w:lang w:eastAsia="pl-PL"/>
        </w:rPr>
        <w:t>do zabudowy zagrodowej, w przypadku gdy powierzchnia gospodarstwa rolnego związanego z tą zabudową przekracza średnią powierzchnię gospodarstwa rolnego w danej gminie.</w:t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 xml:space="preserve"> </w:t>
      </w:r>
    </w:p>
    <w:p w:rsidR="00FC4D07" w:rsidRPr="00B023EF" w:rsidRDefault="00FC4D07" w:rsidP="00FC4D07">
      <w:pPr>
        <w:spacing w:after="0" w:line="240" w:lineRule="auto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</w:p>
    <w:p w:rsidR="00FC4D07" w:rsidRPr="00B023EF" w:rsidRDefault="00FC4D07" w:rsidP="00FC4D07">
      <w:pPr>
        <w:spacing w:after="0" w:line="240" w:lineRule="auto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</w:p>
    <w:p w:rsidR="00FC4D07" w:rsidRPr="00B023EF" w:rsidRDefault="00FC4D07" w:rsidP="00FC4D07">
      <w:pPr>
        <w:numPr>
          <w:ilvl w:val="0"/>
          <w:numId w:val="8"/>
        </w:numPr>
        <w:spacing w:after="0" w:line="240" w:lineRule="auto"/>
        <w:jc w:val="both"/>
        <w:rPr>
          <w:rFonts w:ascii="Diavlo Light" w:eastAsia="Times New Roman" w:hAnsi="Diavlo Light" w:cs="Tahoma"/>
          <w:b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sz w:val="18"/>
          <w:szCs w:val="18"/>
          <w:lang w:eastAsia="pl-PL"/>
        </w:rPr>
        <w:t xml:space="preserve">Inwestycja celu publicznego </w:t>
      </w: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stanowi realizację celów, o których mowa w art. 6 ustawy z dn. 21 sierpnia 1997 r. o gospodarce nieruchomościami (jedn. tekst – Dz. U. z 2010r. Nr 102, poz. 651 z </w:t>
      </w:r>
      <w:proofErr w:type="spellStart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późn</w:t>
      </w:r>
      <w:proofErr w:type="spellEnd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. zm.).</w:t>
      </w:r>
    </w:p>
    <w:p w:rsidR="00FC4D07" w:rsidRPr="00B023EF" w:rsidRDefault="00FC4D07" w:rsidP="00FC4D07">
      <w:pPr>
        <w:spacing w:after="0" w:line="240" w:lineRule="auto"/>
        <w:jc w:val="both"/>
        <w:rPr>
          <w:rFonts w:ascii="Diavlo Light" w:eastAsia="Times New Roman" w:hAnsi="Diavlo Light" w:cs="Tahoma"/>
          <w:b/>
          <w:sz w:val="18"/>
          <w:szCs w:val="18"/>
          <w:lang w:eastAsia="pl-PL"/>
        </w:rPr>
      </w:pPr>
    </w:p>
    <w:p w:rsidR="00FC4D07" w:rsidRPr="00B023EF" w:rsidRDefault="00FC4D07" w:rsidP="00FC4D07">
      <w:pPr>
        <w:spacing w:after="120" w:line="240" w:lineRule="auto"/>
        <w:ind w:firstLine="180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lastRenderedPageBreak/>
        <w:t>Celami publicznymi w rozumieniu tej ustawy są:</w:t>
      </w:r>
    </w:p>
    <w:p w:rsidR="00FC4D07" w:rsidRPr="00B023EF" w:rsidRDefault="00FC4D07" w:rsidP="00FC4D07">
      <w:pPr>
        <w:spacing w:after="120" w:line="240" w:lineRule="auto"/>
        <w:ind w:firstLine="180"/>
        <w:rPr>
          <w:rFonts w:ascii="Diavlo Light" w:eastAsia="Times New Roman" w:hAnsi="Diavlo Light" w:cs="Tahoma"/>
          <w:b/>
          <w:sz w:val="18"/>
          <w:szCs w:val="18"/>
          <w:lang w:eastAsia="pl-PL"/>
        </w:rPr>
      </w:pP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1)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wydzielanie gruntów pod drogi publiczne i drogi wodne, budowa, utrzymywanie oraz wykonanie robót budowlanych tych dróg, obiektów i urządzeń transportu publicznego, a także łączności publicznej i sygnalizacji,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 1a) wydzielenie gruntów pod linie kolejowe oraz ich budowa i utrzymanie, 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1b) wydzielanie gruntów pod lotniska, urządzenia i obiekty do obsługi ruchu lotniczego, w tym rejonów podejść oraz budowa i eksploatacja tych lotnisk i urządzeń,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 2) 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budowa i utrzymywanie ciągów drenażowych, przewodów i urządzeń służących do przesyłania lub dystrybucji płynów, pary, gazów i energii elektrycznej, a także innych obiektów i urządzeń niezbędnych do korzystania z tych przewodów i urządzeń,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2a) budowa i utrzymywanie sieci transportowej dwutlenku węgla,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3) 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budowa i utrzymywanie publicznych urządzeń służących do zaopatrzenia ludności w wodę, gromadzenia, przesyłania , oczyszczania i odprowadzania ścieków oraz odzysku i unieszkodliwiania odpadów, w tym ich składowania,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4)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budowa oraz utrzymywanie obiektów i urządzeń służących ochronie środowiska, zbiorników i innych urządzeń wodnych służących zaopatrzeniu w wodę, regulacji przepływów i ochronie przed powodzią, a także regulacja i utrzymywanie wód oraz urządzeń melioracji wodnych, będących własnością Skarbu Państwa lub jednostek samorządu terytorialnego,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 5)   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opieka nad nieruchomościami stanowiącymi zabytki w rozumieniu przepisów o ochronie zabytków i opiece nad zabytkami,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 5a)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ochrona Pomników Zagłady w rozumieniu przepisów o ochronie terenów byłych hitlerowskich obozów zagłady oraz miejsc i pomników upamiętniających ofiary terroryzmu komunistycznego,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 6) 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budowa i utrzymywanie pomieszczeń dla urzędów organów władzy, administracji, sądów i prokuratur, państwowych szkół wyższych, szkół publicznych, a także publicznych: obiektów ochrony zdrowia, przedszkoli, domów opieki społecznej, placówek opiekuńczo-wychowawczych i obiektów sportowych,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6a)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 xml:space="preserve">budowa i utrzymywanie obiektów oraz pomieszczeń niezbędnych do realizacji obowiązków w zakresie świadczenia przez operatora publicznego powszechnych usług pocztowych, a także innych obiektów i pomieszczeń związanych ze świadczeniami  tych usług, 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7)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budowa i utrzymywanie obiektów oraz urządzeń niezbędnych na potrzeby obronności państwa i ochrony granicy państwowej, a także do zapewnienia bezpieczeństwa publicznego, w tym budowa i utrzymywanie aresztów śledczych, zakładów karnych oraz zakładów dla nieletnich,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 8)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poszukiwanie, rozpoznawanie, wydobywanie złóż kopalin objętych własnością górniczą,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8a) poszukiwanie lub rozpoznawanie kompleksu podziemnego składowania dwutlenku węgla oraz podziemne składowanie dwutlenku węgla,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  9)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zakładanie i utrzymywanie cmentarzy,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  9a)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ustanawianie i ochrona miejsc pamięci narodowej,</w:t>
      </w:r>
    </w:p>
    <w:p w:rsidR="00FC4D07" w:rsidRPr="00B023EF" w:rsidRDefault="00FC4D07" w:rsidP="00FC4D0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 xml:space="preserve">  9b)  </w:t>
      </w: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ab/>
        <w:t>ochrona zagrożonych wyginięciem gatunków roślin i zwierząt lub siedlisk przyrody,</w:t>
      </w:r>
    </w:p>
    <w:p w:rsidR="00FC4D07" w:rsidRPr="00B023EF" w:rsidRDefault="00FC4D07" w:rsidP="00FC4D07">
      <w:pPr>
        <w:numPr>
          <w:ilvl w:val="0"/>
          <w:numId w:val="12"/>
        </w:numPr>
        <w:spacing w:after="0" w:line="240" w:lineRule="auto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  <w:r w:rsidRPr="00B023EF">
        <w:rPr>
          <w:rFonts w:ascii="Diavlo Light" w:eastAsia="Arial Unicode MS" w:hAnsi="Diavlo Light" w:cs="Tahoma"/>
          <w:sz w:val="18"/>
          <w:szCs w:val="18"/>
          <w:lang w:eastAsia="pl-PL"/>
        </w:rPr>
        <w:t>inne cele publiczne określone w odrębnych ustawach.</w:t>
      </w:r>
    </w:p>
    <w:p w:rsidR="00FC4D07" w:rsidRPr="00B023EF" w:rsidRDefault="00FC4D07" w:rsidP="00FC4D07">
      <w:pPr>
        <w:spacing w:after="0" w:line="240" w:lineRule="auto"/>
        <w:ind w:left="270"/>
        <w:jc w:val="both"/>
        <w:rPr>
          <w:rFonts w:ascii="Diavlo Light" w:eastAsia="Arial Unicode MS" w:hAnsi="Diavlo Light" w:cs="Tahoma"/>
          <w:sz w:val="18"/>
          <w:szCs w:val="18"/>
          <w:lang w:eastAsia="pl-PL"/>
        </w:rPr>
      </w:pPr>
    </w:p>
    <w:p w:rsidR="00FC4D07" w:rsidRPr="00B023EF" w:rsidRDefault="00FC4D07" w:rsidP="00FC4D07">
      <w:pPr>
        <w:numPr>
          <w:ilvl w:val="0"/>
          <w:numId w:val="9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Wydania decyzji o ustaleniu lokalizacji inwestycji celu publicznego nie wymagają roboty budowlane: polegające na remoncie, montażu lub przebudowie, jeżeli nie powodują zmiany sposobu zagospodarowania terenu i użytkowania obiektu budowlanego oraz nie zmieniają jego formy architektonicznej a także nie są zaliczone do przedsięwzięć wymagających przeprowadzenia postępowania w sprawie oceny oddziaływania na środowisko, w rozumieniu przepisów o ochronie środowiska, albo niewymagające pozwolenia na budowę.</w:t>
      </w:r>
    </w:p>
    <w:p w:rsidR="00FC4D07" w:rsidRPr="00B023EF" w:rsidRDefault="00FC4D07" w:rsidP="00FC4D07">
      <w:pPr>
        <w:numPr>
          <w:ilvl w:val="0"/>
          <w:numId w:val="10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Ustalenie lokalizacji inwestycji celu publicznego następuje na wniosek inwestora.</w:t>
      </w:r>
    </w:p>
    <w:p w:rsidR="00FC4D07" w:rsidRPr="00B023EF" w:rsidRDefault="00FC4D07" w:rsidP="00FC4D07">
      <w:pPr>
        <w:numPr>
          <w:ilvl w:val="0"/>
          <w:numId w:val="11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Organ, który wydał decyzję o ustaleniu lokalizacji inwestycji celu publicznego, stwierdza jej wygaśnięcie: </w:t>
      </w:r>
    </w:p>
    <w:p w:rsidR="00FC4D07" w:rsidRPr="00B023EF" w:rsidRDefault="00FC4D07" w:rsidP="00FC4D07">
      <w:pPr>
        <w:numPr>
          <w:ilvl w:val="1"/>
          <w:numId w:val="1"/>
        </w:numPr>
        <w:tabs>
          <w:tab w:val="clear" w:pos="2130"/>
          <w:tab w:val="num" w:pos="708"/>
        </w:tabs>
        <w:spacing w:after="0" w:line="240" w:lineRule="auto"/>
        <w:ind w:left="708" w:hanging="295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jeżeli inny wnioskodawca uzyskał pozwolenie na budowę,  </w:t>
      </w:r>
    </w:p>
    <w:p w:rsidR="00FC4D07" w:rsidRPr="00B023EF" w:rsidRDefault="00FC4D07" w:rsidP="00FC4D07">
      <w:pPr>
        <w:numPr>
          <w:ilvl w:val="1"/>
          <w:numId w:val="1"/>
        </w:numPr>
        <w:tabs>
          <w:tab w:val="clear" w:pos="2130"/>
          <w:tab w:val="num" w:pos="708"/>
        </w:tabs>
        <w:spacing w:after="0" w:line="240" w:lineRule="auto"/>
        <w:ind w:left="708" w:hanging="295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jeżeli dla tego terenu uchwalono plan miejscowy, którego ustalenia są inne niż w wydanej decyzji, a uprzednio nie została wydana ostateczna decyzja o pozwoleniu na budowę.</w:t>
      </w:r>
    </w:p>
    <w:p w:rsidR="00FC4D07" w:rsidRPr="00B023EF" w:rsidRDefault="00FC4D07" w:rsidP="00FC4D07">
      <w:pPr>
        <w:spacing w:after="120" w:line="240" w:lineRule="auto"/>
        <w:rPr>
          <w:rFonts w:ascii="Diavlo Light" w:eastAsia="Times New Roman" w:hAnsi="Diavlo Light" w:cs="Tahoma"/>
          <w:b/>
          <w:sz w:val="18"/>
          <w:szCs w:val="18"/>
          <w:lang w:eastAsia="pl-PL"/>
        </w:rPr>
      </w:pPr>
    </w:p>
    <w:p w:rsidR="00FC4D07" w:rsidRPr="00B023EF" w:rsidRDefault="00FC4D07" w:rsidP="00FC4D07">
      <w:pPr>
        <w:numPr>
          <w:ilvl w:val="0"/>
          <w:numId w:val="8"/>
        </w:numPr>
        <w:spacing w:after="0" w:line="240" w:lineRule="auto"/>
        <w:jc w:val="both"/>
        <w:rPr>
          <w:rFonts w:ascii="Diavlo Light" w:eastAsia="Times New Roman" w:hAnsi="Diavlo Light" w:cs="Tahoma"/>
          <w:b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sz w:val="18"/>
          <w:szCs w:val="18"/>
          <w:lang w:eastAsia="pl-PL"/>
        </w:rPr>
        <w:t>Uzgodnienia niezbędne na etapie projektu decyzji.</w:t>
      </w:r>
    </w:p>
    <w:p w:rsidR="00FC4D07" w:rsidRPr="00B023EF" w:rsidRDefault="00FC4D07" w:rsidP="00FC4D07">
      <w:pPr>
        <w:tabs>
          <w:tab w:val="left" w:pos="413"/>
        </w:tabs>
        <w:spacing w:after="120" w:line="240" w:lineRule="auto"/>
        <w:ind w:left="283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Zgodnie z powołaną wyżej ustawą z dnia 27.03.2003r. o planowaniu i zagospodarowaniu przestrzennym  – art. 53.4 i art. 60.1 – oba rodzaje decyzji wydaje się po uzgodnieniu m.in. z:</w:t>
      </w:r>
    </w:p>
    <w:p w:rsidR="00FC4D07" w:rsidRPr="00B023EF" w:rsidRDefault="00FC4D07" w:rsidP="00FC4D07">
      <w:pPr>
        <w:numPr>
          <w:ilvl w:val="2"/>
          <w:numId w:val="2"/>
        </w:numPr>
        <w:tabs>
          <w:tab w:val="left" w:pos="413"/>
          <w:tab w:val="num" w:pos="767"/>
        </w:tabs>
        <w:spacing w:after="0" w:line="240" w:lineRule="auto"/>
        <w:ind w:left="767" w:hanging="354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wojewódzkim konserwatorem zabytków – w odniesieniu do obszarów i obiektów objętych ochroną konserwatorską,</w:t>
      </w:r>
    </w:p>
    <w:p w:rsidR="00FC4D07" w:rsidRPr="00B023EF" w:rsidRDefault="00FC4D07" w:rsidP="00FC4D07">
      <w:pPr>
        <w:numPr>
          <w:ilvl w:val="2"/>
          <w:numId w:val="2"/>
        </w:numPr>
        <w:tabs>
          <w:tab w:val="left" w:pos="413"/>
          <w:tab w:val="num" w:pos="767"/>
        </w:tabs>
        <w:spacing w:after="0" w:line="240" w:lineRule="auto"/>
        <w:ind w:left="767" w:hanging="354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Starostą Sandomierskim – w sprawie ochrony gruntów rolnych i leśnych oraz w sprawie melioracji wodnej,</w:t>
      </w:r>
    </w:p>
    <w:p w:rsidR="00FC4D07" w:rsidRPr="00B023EF" w:rsidRDefault="00FC4D07" w:rsidP="00FC4D07">
      <w:pPr>
        <w:numPr>
          <w:ilvl w:val="2"/>
          <w:numId w:val="2"/>
        </w:numPr>
        <w:tabs>
          <w:tab w:val="left" w:pos="413"/>
          <w:tab w:val="num" w:pos="767"/>
        </w:tabs>
        <w:spacing w:after="0" w:line="240" w:lineRule="auto"/>
        <w:ind w:left="767" w:hanging="354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wojewódzkim konserwatorem przyrody – w odniesieniu do obszarów objętych ochroną na podstawie przepisów o ochronie przyrody,</w:t>
      </w:r>
    </w:p>
    <w:p w:rsidR="00FC4D07" w:rsidRPr="00B023EF" w:rsidRDefault="00FC4D07" w:rsidP="00FC4D07">
      <w:pPr>
        <w:numPr>
          <w:ilvl w:val="2"/>
          <w:numId w:val="2"/>
        </w:numPr>
        <w:tabs>
          <w:tab w:val="left" w:pos="413"/>
          <w:tab w:val="num" w:pos="767"/>
        </w:tabs>
        <w:spacing w:after="0" w:line="240" w:lineRule="auto"/>
        <w:ind w:left="767" w:hanging="354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właściwym zarządcą drogi – w odniesieniu do obszarów przyległych do pasa drogowego lub przyległych do ujętej w miejscowym planie zagospodarowania przestrzennego projektowanej drogi.</w:t>
      </w:r>
    </w:p>
    <w:p w:rsidR="00FC4D07" w:rsidRPr="00B023EF" w:rsidRDefault="00FC4D07" w:rsidP="00FC4D07">
      <w:pPr>
        <w:tabs>
          <w:tab w:val="left" w:pos="413"/>
        </w:tabs>
        <w:spacing w:after="0" w:line="240" w:lineRule="auto"/>
        <w:ind w:left="41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lastRenderedPageBreak/>
        <w:t>Projekt decyzji o warunkach zabudowy dodatkowo uzgadnia się z Wojewodą Świętokrzyskim, Marszałkiem Województwa Świętokrzyskiego, Starostą Sandomierskim – w zakresie zadań rządowych i samorządowych (w przypadku, gdy wymaga tego projektowana inwestycja).</w:t>
      </w:r>
    </w:p>
    <w:p w:rsidR="00FC4D07" w:rsidRPr="00B023EF" w:rsidRDefault="00FC4D07" w:rsidP="00FC4D07">
      <w:pPr>
        <w:tabs>
          <w:tab w:val="left" w:pos="413"/>
        </w:tabs>
        <w:spacing w:after="0" w:line="240" w:lineRule="auto"/>
        <w:ind w:left="472" w:hanging="472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</w:p>
    <w:p w:rsidR="00FC4D07" w:rsidRPr="00B023EF" w:rsidRDefault="00FC4D07" w:rsidP="00FC4D07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>Przedsięwzięcia wymagające procedur z tytułu ochrony środowiska.</w:t>
      </w:r>
    </w:p>
    <w:p w:rsidR="00FC4D07" w:rsidRPr="00B023EF" w:rsidRDefault="00FC4D07" w:rsidP="00FC4D07">
      <w:pPr>
        <w:tabs>
          <w:tab w:val="left" w:pos="413"/>
        </w:tabs>
        <w:spacing w:after="120" w:line="240" w:lineRule="auto"/>
        <w:ind w:left="283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Zgodnie z ustawą z dnia 3.10.2008r. o udostępnianiu informacji o środowisku i jego ochronie, udziale społeczeństwa w ochronie środowiska oraz o ocenach oddziaływania na środowisko  (tj. Dz. U. z 2013r. poz. 1235 z </w:t>
      </w:r>
      <w:proofErr w:type="spellStart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późn</w:t>
      </w:r>
      <w:proofErr w:type="spellEnd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. zm.) dla przedsięwzięć szkodliwych lub mogących pogorszyć stan środowiska, wymienionych w Rozporządzeniu Rady Ministrów z dnia 9 listopada 2010r. (Dz. U. Nr 213, poz. 1397 z </w:t>
      </w:r>
      <w:proofErr w:type="spellStart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późn</w:t>
      </w:r>
      <w:proofErr w:type="spellEnd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. zm.) w sprawie przedsięwzięć mogących znacząco oddziaływać na środowisko – </w:t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>należy uzyskać decyzję o środowiskowych uwarunkowaniach</w:t>
      </w: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, poprzedzoną przeprowadzeniem postępowania wynikającego z tej ustawy.  </w:t>
      </w:r>
    </w:p>
    <w:p w:rsidR="00FC4D07" w:rsidRPr="00B023EF" w:rsidRDefault="00FC4D07" w:rsidP="00FC4D07">
      <w:pPr>
        <w:numPr>
          <w:ilvl w:val="0"/>
          <w:numId w:val="8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sz w:val="18"/>
          <w:szCs w:val="18"/>
          <w:lang w:eastAsia="pl-PL"/>
        </w:rPr>
        <w:t xml:space="preserve">Opłaty </w:t>
      </w: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 </w:t>
      </w:r>
    </w:p>
    <w:p w:rsidR="00FC4D07" w:rsidRPr="00B023EF" w:rsidRDefault="00FC4D07" w:rsidP="00FC4D0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90" w:hanging="230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na podstawie ustawy z 16  listopada  2006 r. o opłacie skarbowej  ( </w:t>
      </w:r>
      <w:r w:rsidRPr="00B023EF">
        <w:rPr>
          <w:rFonts w:ascii="Diavlo Book" w:eastAsia="Times New Roman" w:hAnsi="Diavlo Book" w:cs="Times New Roman"/>
          <w:bCs/>
          <w:sz w:val="18"/>
          <w:szCs w:val="18"/>
          <w:lang w:eastAsia="pl-PL"/>
        </w:rPr>
        <w:t xml:space="preserve">tj. z 2012r. Dz. U. poz. 1282 z </w:t>
      </w:r>
      <w:proofErr w:type="spellStart"/>
      <w:r w:rsidRPr="00B023EF">
        <w:rPr>
          <w:rFonts w:ascii="Diavlo Book" w:eastAsia="Times New Roman" w:hAnsi="Diavlo Book" w:cs="Times New Roman"/>
          <w:bCs/>
          <w:sz w:val="18"/>
          <w:szCs w:val="18"/>
          <w:lang w:eastAsia="pl-PL"/>
        </w:rPr>
        <w:t>późn</w:t>
      </w:r>
      <w:proofErr w:type="spellEnd"/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. zm.)</w:t>
      </w:r>
    </w:p>
    <w:p w:rsidR="00FC4D07" w:rsidRPr="00B023EF" w:rsidRDefault="00FC4D07" w:rsidP="00FC4D07">
      <w:pPr>
        <w:spacing w:after="0" w:line="240" w:lineRule="auto"/>
        <w:ind w:left="590" w:hanging="230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     od decyzji o warunkach zabudowy pobierane są opłaty skarbowe, określone w załączniku do ustawy  z dnia 16 listopada  2006 r. o opłacie skarbowej tj. </w:t>
      </w:r>
    </w:p>
    <w:p w:rsidR="00FC4D07" w:rsidRPr="00B023EF" w:rsidRDefault="00FC4D07" w:rsidP="00FC4D07">
      <w:pPr>
        <w:numPr>
          <w:ilvl w:val="0"/>
          <w:numId w:val="14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od decyzji o warunkach zabudowy    -    107,00zł.</w:t>
      </w:r>
    </w:p>
    <w:p w:rsidR="00FC4D07" w:rsidRPr="00B023EF" w:rsidRDefault="00FC4D07" w:rsidP="00FC4D07">
      <w:pPr>
        <w:numPr>
          <w:ilvl w:val="0"/>
          <w:numId w:val="14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od przeniesienia decyzji o warunkach zabudowy na rzecz innej osoby   -  56,00zł.</w:t>
      </w:r>
    </w:p>
    <w:p w:rsidR="00FC4D07" w:rsidRPr="00B023EF" w:rsidRDefault="00FC4D07" w:rsidP="00FC4D07">
      <w:pPr>
        <w:numPr>
          <w:ilvl w:val="0"/>
          <w:numId w:val="14"/>
        </w:numPr>
        <w:spacing w:after="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złożenie dokumentu stwierdzającego udzielenie pełnomocnictwa lub prokury albo jego odpisu, wypisu lub kopii od każdego stosunku pełnomocnictwa (prokury)  -   17,00zł..</w:t>
      </w:r>
    </w:p>
    <w:p w:rsidR="00FC4D07" w:rsidRPr="00B023EF" w:rsidRDefault="00FC4D07" w:rsidP="00FC4D07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590" w:hanging="230"/>
        <w:jc w:val="both"/>
        <w:rPr>
          <w:rFonts w:ascii="Diavlo Light" w:eastAsia="Times New Roman" w:hAnsi="Diavlo Light" w:cs="Tahoma"/>
          <w:b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sz w:val="18"/>
          <w:szCs w:val="18"/>
          <w:lang w:eastAsia="pl-PL"/>
        </w:rPr>
        <w:t xml:space="preserve">Obowiązek zapłaty opłaty skarbowej powstaje z chwilą złożenia wniosku o wydanie decyzji – art. 6 w/w ustawy </w:t>
      </w:r>
    </w:p>
    <w:p w:rsidR="00FC4D07" w:rsidRPr="00B023EF" w:rsidRDefault="00FC4D07" w:rsidP="00FC4D07">
      <w:pPr>
        <w:spacing w:after="0" w:line="240" w:lineRule="auto"/>
        <w:ind w:left="1416"/>
        <w:jc w:val="both"/>
        <w:rPr>
          <w:rFonts w:ascii="Diavlo Light" w:eastAsia="Times New Roman" w:hAnsi="Diavlo Light" w:cs="Tahoma"/>
          <w:b/>
          <w:sz w:val="18"/>
          <w:szCs w:val="18"/>
          <w:lang w:eastAsia="pl-PL"/>
        </w:rPr>
      </w:pPr>
      <w:r w:rsidRPr="00B023EF">
        <w:rPr>
          <w:rFonts w:ascii="Verdana" w:eastAsia="Times New Roman" w:hAnsi="Verdana" w:cs="Arial"/>
          <w:b/>
          <w:sz w:val="20"/>
          <w:szCs w:val="24"/>
          <w:lang w:eastAsia="pl-PL"/>
        </w:rPr>
        <w:t>BS  Sandomierz  NR 27 9429 0004 2001 0000 1300 0006</w:t>
      </w:r>
    </w:p>
    <w:p w:rsidR="00FC4D07" w:rsidRPr="00B023EF" w:rsidRDefault="00FC4D07" w:rsidP="00FC4D07">
      <w:pPr>
        <w:numPr>
          <w:ilvl w:val="0"/>
          <w:numId w:val="7"/>
        </w:numPr>
        <w:tabs>
          <w:tab w:val="num" w:pos="590"/>
        </w:tabs>
        <w:spacing w:after="0" w:line="240" w:lineRule="auto"/>
        <w:ind w:left="590" w:hanging="230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Czynności urzędowe, zaświadczenia oraz zezwolenia w sprawach </w:t>
      </w:r>
      <w:r w:rsidRPr="00B023EF">
        <w:rPr>
          <w:rFonts w:ascii="Diavlo Light" w:eastAsia="Times New Roman" w:hAnsi="Diavlo Light" w:cs="Tahoma"/>
          <w:b/>
          <w:sz w:val="18"/>
          <w:szCs w:val="18"/>
          <w:lang w:eastAsia="pl-PL"/>
        </w:rPr>
        <w:t>związanych z budownictwem mieszkaniowym nie podlegają opłacie skarbowej</w:t>
      </w: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 – art. 2 ust. 1 pkt. 2. w/w ustawy.</w:t>
      </w:r>
    </w:p>
    <w:p w:rsidR="00FC4D07" w:rsidRPr="00B023EF" w:rsidRDefault="00FC4D07" w:rsidP="00FC4D07">
      <w:pPr>
        <w:numPr>
          <w:ilvl w:val="0"/>
          <w:numId w:val="7"/>
        </w:numPr>
        <w:tabs>
          <w:tab w:val="num" w:pos="590"/>
        </w:tabs>
        <w:spacing w:after="0" w:line="240" w:lineRule="auto"/>
        <w:ind w:left="590" w:hanging="230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Nie podlegają opłacie skarbowej czynności urzędowe, zaświadczenia, zezwolenia oraz dokumenty stwierdzające ustanowienie pełnomocnika lub prokury ich odpisy, wypisy lub kopie w sprawach nauki, szkolnictwa i oświaty pozaszkolnej oraz ochrony zdrowia.</w:t>
      </w:r>
    </w:p>
    <w:p w:rsidR="00FC4D07" w:rsidRPr="00B023EF" w:rsidRDefault="00FC4D07" w:rsidP="00FC4D07">
      <w:pPr>
        <w:numPr>
          <w:ilvl w:val="0"/>
          <w:numId w:val="7"/>
        </w:numPr>
        <w:tabs>
          <w:tab w:val="clear" w:pos="1080"/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90" w:hanging="230"/>
        <w:jc w:val="both"/>
        <w:rPr>
          <w:rFonts w:ascii="Diavlo Light" w:eastAsia="Times New Roman" w:hAnsi="Diavlo Light" w:cs="Arial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>Zwolnione z opłaty skarbowej są m.in. jednostki budżetowe, jednostki samorządu terytorialnego, o</w:t>
      </w:r>
      <w:r w:rsidRPr="00B023EF">
        <w:rPr>
          <w:rFonts w:ascii="Diavlo Light" w:eastAsia="Times New Roman" w:hAnsi="Diavlo Light" w:cs="Arial"/>
          <w:sz w:val="18"/>
          <w:szCs w:val="18"/>
          <w:lang w:eastAsia="pl-PL"/>
        </w:rPr>
        <w:t>rganizacje pożytku publicznego, jeżeli dokonują zgłoszenia lub składają wniosek o dokonanie czynności urzędowej albo wniosek o wydanie zaświadczenia lub zezwolenia - wyłącznie w związku z nieodpłatną działalnością pożytku publicznego w rozumieniu przepisów o działalności pożytku publicznego i o wolontariacie.</w:t>
      </w:r>
    </w:p>
    <w:p w:rsidR="00FC4D07" w:rsidRPr="00B023EF" w:rsidRDefault="00FC4D07" w:rsidP="00FC4D07">
      <w:pPr>
        <w:tabs>
          <w:tab w:val="left" w:pos="413"/>
        </w:tabs>
        <w:spacing w:after="120" w:line="240" w:lineRule="auto"/>
        <w:jc w:val="both"/>
        <w:rPr>
          <w:rFonts w:ascii="Diavlo Light" w:eastAsia="Times New Roman" w:hAnsi="Diavlo Light" w:cs="Tahoma"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ab/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ab/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ab/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ab/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ab/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ab/>
      </w: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ab/>
      </w:r>
    </w:p>
    <w:p w:rsidR="00FC4D07" w:rsidRPr="00B023EF" w:rsidRDefault="00FC4D07" w:rsidP="00FC4D07">
      <w:pPr>
        <w:numPr>
          <w:ilvl w:val="0"/>
          <w:numId w:val="8"/>
        </w:numPr>
        <w:spacing w:after="0" w:line="240" w:lineRule="auto"/>
        <w:ind w:left="413" w:hanging="413"/>
        <w:jc w:val="both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>Informacje dodatkowe.</w:t>
      </w:r>
    </w:p>
    <w:p w:rsidR="00FC4D07" w:rsidRPr="00B023EF" w:rsidRDefault="00FC4D07" w:rsidP="00FC4D07">
      <w:pPr>
        <w:numPr>
          <w:ilvl w:val="0"/>
          <w:numId w:val="5"/>
        </w:numPr>
        <w:tabs>
          <w:tab w:val="num" w:pos="708"/>
        </w:tabs>
        <w:spacing w:after="0" w:line="240" w:lineRule="auto"/>
        <w:ind w:left="708" w:hanging="348"/>
        <w:jc w:val="both"/>
        <w:rPr>
          <w:rFonts w:ascii="Diavlo Light" w:eastAsia="Times New Roman" w:hAnsi="Diavlo Light" w:cs="Tahoma"/>
          <w:b/>
          <w:sz w:val="20"/>
          <w:szCs w:val="20"/>
          <w:lang w:eastAsia="pl-PL"/>
        </w:rPr>
      </w:pPr>
      <w:r w:rsidRPr="00B023EF">
        <w:rPr>
          <w:rFonts w:ascii="Diavlo Light" w:eastAsia="Times New Roman" w:hAnsi="Diavlo Light" w:cs="Tahoma"/>
          <w:b/>
          <w:sz w:val="20"/>
          <w:szCs w:val="20"/>
          <w:lang w:eastAsia="pl-PL"/>
        </w:rPr>
        <w:t>Decyzja o warunkach zabudowy nie rodzi praw do terenu oraz nie narusza nie narusza praw własności i uprawnień osób trzecich, a wnioskodawcy, który nie uzyskał prawa do terenu nie przysługuje roszczenie o zwrot nakładów poniesionych w związku z otrzymaną decyzją.</w:t>
      </w:r>
    </w:p>
    <w:p w:rsidR="00FC4D07" w:rsidRPr="00B023EF" w:rsidRDefault="00FC4D07" w:rsidP="00FC4D07">
      <w:pPr>
        <w:spacing w:after="0" w:line="240" w:lineRule="auto"/>
        <w:ind w:left="360"/>
        <w:jc w:val="both"/>
        <w:rPr>
          <w:rFonts w:ascii="Diavlo Light" w:eastAsia="Times New Roman" w:hAnsi="Diavlo Light" w:cs="Tahoma"/>
          <w:b/>
          <w:sz w:val="20"/>
          <w:szCs w:val="20"/>
          <w:lang w:eastAsia="pl-PL"/>
        </w:rPr>
      </w:pPr>
    </w:p>
    <w:p w:rsidR="00FC4D07" w:rsidRPr="00B023EF" w:rsidRDefault="00FC4D07" w:rsidP="00FC4D07">
      <w:pPr>
        <w:numPr>
          <w:ilvl w:val="0"/>
          <w:numId w:val="5"/>
        </w:numPr>
        <w:tabs>
          <w:tab w:val="num" w:pos="708"/>
        </w:tabs>
        <w:spacing w:after="0" w:line="240" w:lineRule="auto"/>
        <w:ind w:left="708" w:hanging="348"/>
        <w:jc w:val="both"/>
        <w:rPr>
          <w:rFonts w:ascii="Diavlo Light" w:eastAsia="Times New Roman" w:hAnsi="Diavlo Light" w:cs="Tahoma"/>
          <w:sz w:val="20"/>
          <w:szCs w:val="20"/>
          <w:lang w:eastAsia="pl-PL"/>
        </w:rPr>
      </w:pPr>
      <w:r w:rsidRPr="00B023EF">
        <w:rPr>
          <w:rFonts w:ascii="Diavlo Light" w:eastAsia="Times New Roman" w:hAnsi="Diavlo Light" w:cs="Tahoma"/>
          <w:sz w:val="20"/>
          <w:szCs w:val="20"/>
          <w:lang w:eastAsia="pl-PL"/>
        </w:rPr>
        <w:t>W oparciu o art. 36 KPA postępowania wymagające zewnętrznych opinii i uzgodnień mogą spowodować ustalenie dodatkowego terminu rozpatrzenia sprawy.</w:t>
      </w:r>
    </w:p>
    <w:p w:rsidR="00FC4D07" w:rsidRPr="00B023EF" w:rsidRDefault="00FC4D07" w:rsidP="00FC4D07">
      <w:pPr>
        <w:spacing w:after="0" w:line="240" w:lineRule="auto"/>
        <w:jc w:val="both"/>
        <w:rPr>
          <w:rFonts w:ascii="Diavlo Light" w:eastAsia="Times New Roman" w:hAnsi="Diavlo Light" w:cs="Tahoma"/>
          <w:sz w:val="20"/>
          <w:szCs w:val="20"/>
          <w:lang w:eastAsia="pl-PL"/>
        </w:rPr>
      </w:pPr>
    </w:p>
    <w:p w:rsidR="00FC4D07" w:rsidRPr="00B023EF" w:rsidRDefault="00FC4D07" w:rsidP="00FC4D0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hanging="348"/>
        <w:jc w:val="both"/>
        <w:rPr>
          <w:rFonts w:ascii="Diavlo Light" w:eastAsia="Times New Roman" w:hAnsi="Diavlo Light" w:cs="Tahoma"/>
          <w:b/>
          <w:bCs/>
          <w:sz w:val="20"/>
          <w:szCs w:val="20"/>
          <w:lang w:eastAsia="pl-PL"/>
        </w:rPr>
      </w:pPr>
      <w:r w:rsidRPr="00B023EF">
        <w:rPr>
          <w:rFonts w:ascii="Diavlo Light" w:eastAsia="Times New Roman" w:hAnsi="Diavlo Light" w:cs="Tahoma"/>
          <w:iCs/>
          <w:sz w:val="20"/>
          <w:szCs w:val="20"/>
          <w:lang w:eastAsia="pl-PL"/>
        </w:rPr>
        <w:t>Projekt budowlany (do pozwolenia na budowę) powinien spełniać wymagania określone w decyzji o warunkach zabudowy i zagospodarowania terenu, jeżeli jest ona wymagana zgodnie z przepisami o planowaniu i zagospodarowaniu przestrzennym (art. 34 ust. 1 ustawy Prawo budowlane).</w:t>
      </w:r>
      <w:r w:rsidRPr="00B023EF">
        <w:rPr>
          <w:rFonts w:ascii="Diavlo Light" w:eastAsia="Times New Roman" w:hAnsi="Diavlo Light" w:cs="Tahoma"/>
          <w:b/>
          <w:bCs/>
          <w:iCs/>
          <w:sz w:val="20"/>
          <w:szCs w:val="20"/>
          <w:lang w:eastAsia="pl-PL"/>
        </w:rPr>
        <w:t xml:space="preserve"> </w:t>
      </w:r>
    </w:p>
    <w:p w:rsidR="00FC4D07" w:rsidRPr="00B023EF" w:rsidRDefault="00FC4D07" w:rsidP="00FC4D07">
      <w:pPr>
        <w:spacing w:after="0" w:line="240" w:lineRule="auto"/>
        <w:ind w:left="413"/>
        <w:jc w:val="both"/>
        <w:rPr>
          <w:rFonts w:ascii="Diavlo Light" w:eastAsia="Times New Roman" w:hAnsi="Diavlo Light" w:cs="Tahoma"/>
          <w:sz w:val="20"/>
          <w:szCs w:val="20"/>
          <w:lang w:eastAsia="pl-PL"/>
        </w:rPr>
      </w:pPr>
    </w:p>
    <w:p w:rsidR="00FC4D07" w:rsidRPr="00B023EF" w:rsidRDefault="00FC4D07" w:rsidP="00FC4D07">
      <w:pPr>
        <w:numPr>
          <w:ilvl w:val="0"/>
          <w:numId w:val="8"/>
        </w:numPr>
        <w:spacing w:after="0" w:line="240" w:lineRule="auto"/>
        <w:jc w:val="both"/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</w:pPr>
      <w:r w:rsidRPr="00B023EF">
        <w:rPr>
          <w:rFonts w:ascii="Diavlo Light" w:eastAsia="Times New Roman" w:hAnsi="Diavlo Light" w:cs="Tahoma"/>
          <w:b/>
          <w:bCs/>
          <w:sz w:val="18"/>
          <w:szCs w:val="18"/>
          <w:lang w:eastAsia="pl-PL"/>
        </w:rPr>
        <w:t xml:space="preserve">Składanie dokumentów: </w:t>
      </w:r>
    </w:p>
    <w:p w:rsidR="00FC4D07" w:rsidRPr="00B023EF" w:rsidRDefault="00FC4D07" w:rsidP="00FC4D07">
      <w:pPr>
        <w:numPr>
          <w:ilvl w:val="0"/>
          <w:numId w:val="13"/>
        </w:numPr>
        <w:tabs>
          <w:tab w:val="num" w:pos="720"/>
        </w:tabs>
        <w:spacing w:after="120" w:line="240" w:lineRule="auto"/>
        <w:ind w:left="720"/>
        <w:jc w:val="both"/>
        <w:rPr>
          <w:rFonts w:ascii="Diavlo Light" w:eastAsia="Times New Roman" w:hAnsi="Diavlo Light" w:cs="Tahoma"/>
          <w:b/>
          <w:bCs/>
          <w:i/>
          <w:iCs/>
          <w:sz w:val="20"/>
          <w:szCs w:val="20"/>
          <w:lang w:eastAsia="pl-PL"/>
        </w:rPr>
      </w:pPr>
      <w:r w:rsidRPr="00B023EF">
        <w:rPr>
          <w:rFonts w:ascii="Diavlo Light" w:eastAsia="Times New Roman" w:hAnsi="Diavlo Light" w:cs="Tahoma"/>
          <w:sz w:val="20"/>
          <w:szCs w:val="20"/>
          <w:lang w:eastAsia="pl-PL"/>
        </w:rPr>
        <w:t>w Biurze Obsługi Interesanta Urzędu Miejskiego w Sandomierzu pl. Poniatowskiego 3 lub za pośrednictwem poczty na adres 27-600 Sandomierz pl. Poniatowskiego 3.</w:t>
      </w:r>
    </w:p>
    <w:p w:rsidR="00FC4D07" w:rsidRPr="00B023EF" w:rsidRDefault="00FC4D07" w:rsidP="00FC4D0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23EF">
        <w:rPr>
          <w:rFonts w:ascii="Diavlo Light" w:eastAsia="Times New Roman" w:hAnsi="Diavlo Light" w:cs="Tahoma"/>
          <w:sz w:val="18"/>
          <w:szCs w:val="18"/>
          <w:lang w:eastAsia="pl-PL"/>
        </w:rPr>
        <w:t xml:space="preserve"> </w:t>
      </w:r>
    </w:p>
    <w:p w:rsidR="00FC4D07" w:rsidRDefault="00FC4D07" w:rsidP="00FC4D07">
      <w:pPr>
        <w:pStyle w:val="NormalnyWeb"/>
        <w:spacing w:before="0" w:beforeAutospacing="0" w:after="0" w:afterAutospacing="0"/>
        <w:rPr>
          <w:rFonts w:ascii="Diavlo Bold" w:hAnsi="Diavlo Bold" w:cs="Tahoma"/>
          <w:sz w:val="28"/>
          <w:szCs w:val="28"/>
        </w:rPr>
      </w:pPr>
      <w:r>
        <w:rPr>
          <w:rFonts w:ascii="Diavlo Bold" w:hAnsi="Diavlo Bold" w:cs="Tahoma"/>
          <w:sz w:val="28"/>
          <w:szCs w:val="28"/>
        </w:rPr>
        <w:t xml:space="preserve"> </w:t>
      </w:r>
    </w:p>
    <w:p w:rsidR="00FC4D07" w:rsidRDefault="00FC4D07" w:rsidP="00FC4D07">
      <w:pPr>
        <w:pStyle w:val="NormalnyWeb"/>
        <w:spacing w:before="0" w:beforeAutospacing="0" w:after="0" w:afterAutospacing="0"/>
        <w:rPr>
          <w:rFonts w:ascii="Diavlo Bold" w:hAnsi="Diavlo Bold" w:cs="Tahoma"/>
          <w:sz w:val="28"/>
          <w:szCs w:val="28"/>
        </w:rPr>
      </w:pPr>
    </w:p>
    <w:p w:rsidR="009A0238" w:rsidRDefault="009A0238">
      <w:bookmarkStart w:id="0" w:name="_GoBack"/>
      <w:bookmarkEnd w:id="0"/>
    </w:p>
    <w:sectPr w:rsidR="009A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avlo Boo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avlo Bold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90"/>
    <w:multiLevelType w:val="hybridMultilevel"/>
    <w:tmpl w:val="A31AA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00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ECFD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4603BA8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57EA2008">
      <w:start w:val="1"/>
      <w:numFmt w:val="decimal"/>
      <w:lvlText w:val="%5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72F79"/>
    <w:multiLevelType w:val="hybridMultilevel"/>
    <w:tmpl w:val="9F38B1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E62F7A">
      <w:start w:val="25"/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 w:hint="default"/>
      </w:rPr>
    </w:lvl>
    <w:lvl w:ilvl="2" w:tplc="A0569D16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26372F"/>
    <w:multiLevelType w:val="hybridMultilevel"/>
    <w:tmpl w:val="AB78A7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FE1839"/>
    <w:multiLevelType w:val="hybridMultilevel"/>
    <w:tmpl w:val="F230C1B0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E94A1C"/>
    <w:multiLevelType w:val="hybridMultilevel"/>
    <w:tmpl w:val="A65CBA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FEE7321"/>
    <w:multiLevelType w:val="hybridMultilevel"/>
    <w:tmpl w:val="017E8240"/>
    <w:lvl w:ilvl="0" w:tplc="2F52BDE2">
      <w:start w:val="10"/>
      <w:numFmt w:val="decimal"/>
      <w:lvlText w:val="%1)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A383A54"/>
    <w:multiLevelType w:val="hybridMultilevel"/>
    <w:tmpl w:val="B9AA4FF6"/>
    <w:lvl w:ilvl="0" w:tplc="73CE1EE6">
      <w:start w:val="3"/>
      <w:numFmt w:val="bullet"/>
      <w:lvlText w:val="-"/>
      <w:lvlJc w:val="left"/>
      <w:pPr>
        <w:tabs>
          <w:tab w:val="num" w:pos="3781"/>
        </w:tabs>
        <w:ind w:left="378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7">
    <w:nsid w:val="3AB565DF"/>
    <w:multiLevelType w:val="hybridMultilevel"/>
    <w:tmpl w:val="150CC736"/>
    <w:lvl w:ilvl="0" w:tplc="BC42A552">
      <w:start w:val="27"/>
      <w:numFmt w:val="bullet"/>
      <w:lvlText w:val="-"/>
      <w:lvlJc w:val="left"/>
      <w:pPr>
        <w:tabs>
          <w:tab w:val="num" w:pos="1133"/>
        </w:tabs>
        <w:ind w:left="1133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8">
    <w:nsid w:val="40513064"/>
    <w:multiLevelType w:val="hybridMultilevel"/>
    <w:tmpl w:val="FB0450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DD24EF"/>
    <w:multiLevelType w:val="hybridMultilevel"/>
    <w:tmpl w:val="5CAC93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E1EE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3610A"/>
    <w:multiLevelType w:val="hybridMultilevel"/>
    <w:tmpl w:val="0978C2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30033B"/>
    <w:multiLevelType w:val="hybridMultilevel"/>
    <w:tmpl w:val="C0CE5236"/>
    <w:lvl w:ilvl="0" w:tplc="A0569D16">
      <w:start w:val="1"/>
      <w:numFmt w:val="upperRoman"/>
      <w:lvlText w:val="%1."/>
      <w:lvlJc w:val="left"/>
      <w:pPr>
        <w:tabs>
          <w:tab w:val="num" w:pos="1201"/>
        </w:tabs>
        <w:ind w:left="1201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12">
    <w:nsid w:val="65414C48"/>
    <w:multiLevelType w:val="hybridMultilevel"/>
    <w:tmpl w:val="30688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676DD3"/>
    <w:multiLevelType w:val="hybridMultilevel"/>
    <w:tmpl w:val="63DEA81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07"/>
    <w:rsid w:val="00304E25"/>
    <w:rsid w:val="009A0238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E2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E2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Szkodziński</dc:creator>
  <cp:lastModifiedBy>Jacek Szkodziński</cp:lastModifiedBy>
  <cp:revision>1</cp:revision>
  <dcterms:created xsi:type="dcterms:W3CDTF">2014-04-18T09:05:00Z</dcterms:created>
  <dcterms:modified xsi:type="dcterms:W3CDTF">2014-04-18T09:05:00Z</dcterms:modified>
</cp:coreProperties>
</file>